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A6A" w:rsidRDefault="002A7BED">
      <w:pPr>
        <w:jc w:val="center"/>
        <w:rPr>
          <w:rFonts w:ascii="宋体" w:hAnsi="宋体"/>
          <w:bCs/>
          <w:color w:val="222222"/>
          <w:spacing w:val="8"/>
          <w:kern w:val="36"/>
          <w:sz w:val="30"/>
          <w:szCs w:val="30"/>
        </w:rPr>
      </w:pPr>
      <w:r>
        <w:rPr>
          <w:rFonts w:ascii="宋体" w:hAnsi="宋体" w:hint="eastAsia"/>
          <w:bCs/>
          <w:color w:val="222222"/>
          <w:spacing w:val="8"/>
          <w:kern w:val="36"/>
          <w:sz w:val="30"/>
          <w:szCs w:val="30"/>
        </w:rPr>
        <w:t>信息素养与创新能力提升云课堂活动方案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为迎接党的二十大胜利召开，庆祝第</w:t>
      </w:r>
      <w:r>
        <w:rPr>
          <w:sz w:val="28"/>
          <w:szCs w:val="28"/>
        </w:rPr>
        <w:t>27</w:t>
      </w:r>
      <w:r>
        <w:rPr>
          <w:rFonts w:ascii="宋体" w:hAnsi="宋体"/>
          <w:sz w:val="28"/>
          <w:szCs w:val="28"/>
        </w:rPr>
        <w:t>个世界读书日的到来，</w:t>
      </w:r>
      <w:r>
        <w:rPr>
          <w:rFonts w:ascii="宋体" w:hAnsi="宋体" w:hint="eastAsia"/>
          <w:sz w:val="28"/>
          <w:szCs w:val="28"/>
        </w:rPr>
        <w:t>学院图书馆联合</w:t>
      </w:r>
      <w:r>
        <w:rPr>
          <w:rFonts w:ascii="宋体" w:hAnsi="宋体"/>
          <w:sz w:val="28"/>
          <w:szCs w:val="28"/>
        </w:rPr>
        <w:t>中国知网天津分公司</w:t>
      </w:r>
      <w:r>
        <w:rPr>
          <w:rFonts w:ascii="宋体" w:hAnsi="宋体" w:hint="eastAsia"/>
          <w:sz w:val="28"/>
          <w:szCs w:val="28"/>
        </w:rPr>
        <w:t>为我院师生</w:t>
      </w:r>
      <w:r>
        <w:rPr>
          <w:rFonts w:ascii="宋体" w:hAnsi="宋体"/>
          <w:sz w:val="28"/>
          <w:szCs w:val="28"/>
        </w:rPr>
        <w:t>开展【书香天津】</w:t>
      </w:r>
      <w:r>
        <w:rPr>
          <w:rFonts w:ascii="宋体" w:hAnsi="宋体" w:hint="eastAsia"/>
          <w:sz w:val="28"/>
          <w:szCs w:val="28"/>
        </w:rPr>
        <w:t>“</w:t>
      </w:r>
      <w:r>
        <w:rPr>
          <w:rFonts w:ascii="宋体" w:hAnsi="宋体"/>
          <w:sz w:val="28"/>
          <w:szCs w:val="28"/>
        </w:rPr>
        <w:t>喜迎二十大</w:t>
      </w:r>
      <w:r>
        <w:rPr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阅读新时代</w:t>
      </w:r>
      <w:r>
        <w:rPr>
          <w:rFonts w:ascii="宋体" w:hAnsi="宋体" w:hint="eastAsia"/>
          <w:sz w:val="28"/>
          <w:szCs w:val="28"/>
        </w:rPr>
        <w:t>”</w:t>
      </w:r>
      <w:r>
        <w:rPr>
          <w:sz w:val="28"/>
          <w:szCs w:val="28"/>
        </w:rPr>
        <w:t>2022</w:t>
      </w:r>
      <w:r>
        <w:rPr>
          <w:rFonts w:ascii="宋体" w:hAnsi="宋体"/>
          <w:sz w:val="28"/>
          <w:szCs w:val="28"/>
        </w:rPr>
        <w:t>年</w:t>
      </w:r>
      <w:r>
        <w:rPr>
          <w:sz w:val="28"/>
          <w:szCs w:val="28"/>
        </w:rPr>
        <w:t>4.23</w:t>
      </w:r>
      <w:r>
        <w:rPr>
          <w:rFonts w:ascii="宋体" w:hAnsi="宋体"/>
          <w:sz w:val="28"/>
          <w:szCs w:val="28"/>
        </w:rPr>
        <w:t>期间线上系列活动</w:t>
      </w:r>
      <w:r>
        <w:rPr>
          <w:sz w:val="28"/>
          <w:szCs w:val="28"/>
        </w:rPr>
        <w:t>——</w:t>
      </w:r>
      <w:r>
        <w:rPr>
          <w:rFonts w:ascii="宋体" w:hAnsi="宋体"/>
          <w:sz w:val="28"/>
          <w:szCs w:val="28"/>
        </w:rPr>
        <w:t>信息素养与创新能力提升云课堂。此次活动旨在倡导全民阅读、营造书香</w:t>
      </w:r>
      <w:r>
        <w:rPr>
          <w:rFonts w:ascii="宋体" w:hAnsi="宋体" w:hint="eastAsia"/>
          <w:sz w:val="28"/>
          <w:szCs w:val="28"/>
        </w:rPr>
        <w:t>校园</w:t>
      </w:r>
      <w:r>
        <w:rPr>
          <w:rFonts w:ascii="宋体" w:hAnsi="宋体"/>
          <w:sz w:val="28"/>
          <w:szCs w:val="28"/>
        </w:rPr>
        <w:t>，为广大读者、科研工作者提升科研信息素养，顺利开展科技查新、科研选题、文献检索、论文创作等工作提供帮助。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一、活动时间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1.2022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日，开始活动报名，报名截止时间为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31</w:t>
      </w:r>
      <w:r>
        <w:rPr>
          <w:rFonts w:ascii="宋体" w:hAnsi="宋体" w:hint="eastAsia"/>
          <w:sz w:val="28"/>
          <w:szCs w:val="28"/>
        </w:rPr>
        <w:t>日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2.2022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日，通过知网在线教学服务平台以录播形式开始播放</w:t>
      </w:r>
      <w:r>
        <w:rPr>
          <w:rFonts w:ascii="宋体" w:hAnsi="宋体" w:hint="eastAsia"/>
          <w:sz w:val="28"/>
          <w:szCs w:val="28"/>
        </w:rPr>
        <w:t>10</w:t>
      </w:r>
      <w:r>
        <w:rPr>
          <w:rFonts w:ascii="宋体" w:hAnsi="宋体" w:hint="eastAsia"/>
          <w:sz w:val="28"/>
          <w:szCs w:val="28"/>
        </w:rPr>
        <w:t>节讲座课程，课程可回放至</w:t>
      </w:r>
      <w:r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30</w:t>
      </w:r>
      <w:r>
        <w:rPr>
          <w:rFonts w:ascii="宋体" w:hAnsi="宋体" w:hint="eastAsia"/>
          <w:sz w:val="28"/>
          <w:szCs w:val="28"/>
        </w:rPr>
        <w:t>日。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二、活动地址</w:t>
      </w:r>
    </w:p>
    <w:p w:rsidR="003D0A6A" w:rsidRDefault="002A7BED">
      <w:pPr>
        <w:ind w:firstLineChars="200" w:firstLine="560"/>
        <w:rPr>
          <w:rFonts w:ascii="微软雅黑" w:eastAsia="微软雅黑" w:hAnsi="微软雅黑"/>
          <w:color w:val="222222"/>
          <w:sz w:val="23"/>
          <w:szCs w:val="23"/>
          <w:shd w:val="clear" w:color="auto" w:fill="FFFFFF"/>
        </w:rPr>
      </w:pP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网页端活动专题页链接：</w:t>
      </w:r>
      <w:hyperlink r:id="rId8" w:history="1">
        <w:r>
          <w:rPr>
            <w:rStyle w:val="a7"/>
            <w:rFonts w:ascii="微软雅黑" w:eastAsia="微软雅黑" w:hAnsi="微软雅黑" w:hint="eastAsia"/>
            <w:sz w:val="23"/>
            <w:szCs w:val="23"/>
            <w:shd w:val="clear" w:color="auto" w:fill="FFFFFF"/>
          </w:rPr>
          <w:t>https://k.cnki.net/NewTheme/Index/453</w:t>
        </w:r>
      </w:hyperlink>
    </w:p>
    <w:p w:rsidR="003D0A6A" w:rsidRDefault="002A7BED">
      <w:pPr>
        <w:ind w:firstLineChars="200" w:firstLine="420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0500" cy="2440940"/>
            <wp:effectExtent l="0" t="0" r="6350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移动端活动专题页二维码：</w:t>
      </w:r>
    </w:p>
    <w:p w:rsidR="003D0A6A" w:rsidRDefault="002A7BED">
      <w:pPr>
        <w:ind w:firstLineChars="200" w:firstLine="420"/>
        <w:jc w:val="center"/>
        <w:rPr>
          <w:rFonts w:ascii="微软雅黑" w:eastAsia="微软雅黑" w:hAnsi="微软雅黑"/>
          <w:color w:val="222222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1476375" cy="1476375"/>
            <wp:effectExtent l="19050" t="0" r="9525" b="0"/>
            <wp:docPr id="1" name="图片 1" descr="https://mmbiz.qpic.cn/mmbiz_png/dhdMLja6zEhMlib0oZLy2haic3TcyP1z6U9WEAzyQiaKia0CdDdZfmnxiaMpBXzJSgythYndgoSI5oo5c7ycGeAdicRQ/640?wx_fmt=png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mmbiz.qpic.cn/mmbiz_png/dhdMLja6zEhMlib0oZLy2haic3TcyP1z6U9WEAzyQiaKia0CdDdZfmnxiaMpBXzJSgythYndgoSI5oo5c7ycGeAdicRQ/640?wx_fmt=png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可扫描上方二维码报名观看</w:t>
      </w:r>
    </w:p>
    <w:p w:rsidR="003D0A6A" w:rsidRDefault="002A7BED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>
            <wp:extent cx="2675890" cy="5791835"/>
            <wp:effectExtent l="0" t="0" r="10160" b="18415"/>
            <wp:docPr id="4" name="图片 4" descr="c0af8e6d1b619950c6712307399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0af8e6d1b619950c671230739917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579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三、讲座参与方式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知网在线教学服务平台录播讲解，课后课程可回放。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2.</w:t>
      </w:r>
      <w:r>
        <w:rPr>
          <w:rFonts w:ascii="宋体" w:hAnsi="宋体" w:hint="eastAsia"/>
          <w:sz w:val="28"/>
          <w:szCs w:val="28"/>
        </w:rPr>
        <w:t>电脑端复制活动专题页链接地址在浏览器打开进行报名观看。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rect id="_x0000_s1028" style="position:absolute;left:0;text-align:left;margin-left:371.9pt;margin-top:24.35pt;width:27.75pt;height:32.25pt;z-index:251660288;mso-width-relative:page;mso-height-relative:page" filled="f" strokecolor="red" strokeweight="2pt"/>
        </w:pic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）输入网址，点击“注册”，输入手机号进行注册。</w:t>
      </w:r>
    </w:p>
    <w:p w:rsidR="003D0A6A" w:rsidRDefault="002A7BED">
      <w:pPr>
        <w:ind w:firstLineChars="200" w:firstLine="420"/>
        <w:rPr>
          <w:rFonts w:ascii="宋体" w:hAnsi="宋体"/>
          <w:sz w:val="28"/>
          <w:szCs w:val="28"/>
        </w:rPr>
      </w:pP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3" type="#_x0000_t34" style="position:absolute;left:0;text-align:left;margin-left:182.15pt;margin-top:9.3pt;width:217.5pt;height:206.25pt;flip:x;z-index:251661312;mso-width-relative:page;mso-height-relative:page" adj="-1862" filled="t" strokecolor="red" strokeweight="2pt">
            <v:stroke endarrow="open"/>
          </v:shape>
        </w:pict>
      </w:r>
      <w:r>
        <w:rPr>
          <w:noProof/>
        </w:rPr>
        <w:drawing>
          <wp:inline distT="0" distB="0" distL="114300" distR="114300">
            <wp:extent cx="4946650" cy="2291080"/>
            <wp:effectExtent l="0" t="0" r="6350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420"/>
      </w:pPr>
      <w:r>
        <w:rPr>
          <w:noProof/>
        </w:rPr>
        <w:drawing>
          <wp:inline distT="0" distB="0" distL="114300" distR="114300">
            <wp:extent cx="4091940" cy="2987040"/>
            <wp:effectExtent l="0" t="0" r="3810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）点击“立即报名”</w:t>
      </w:r>
    </w:p>
    <w:p w:rsidR="003D0A6A" w:rsidRDefault="002A7BED">
      <w:pPr>
        <w:ind w:firstLineChars="200" w:firstLine="420"/>
        <w:rPr>
          <w:rFonts w:ascii="宋体" w:hAnsi="宋体"/>
          <w:sz w:val="28"/>
          <w:szCs w:val="28"/>
        </w:rPr>
      </w:pPr>
      <w:r>
        <w:pict>
          <v:rect id="_x0000_s1026" style="position:absolute;left:0;text-align:left;margin-left:261.65pt;margin-top:114.75pt;width:66.05pt;height:29.3pt;z-index:251659264;mso-width-relative:page;mso-height-relative:page" filled="f" strokecolor="red" strokeweight="2pt"/>
        </w:pict>
      </w:r>
      <w:r>
        <w:rPr>
          <w:noProof/>
        </w:rPr>
        <w:drawing>
          <wp:inline distT="0" distB="0" distL="114300" distR="114300">
            <wp:extent cx="4023360" cy="1863090"/>
            <wp:effectExtent l="0" t="0" r="15240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2FB" w:rsidRDefault="00D772FB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3）报名登录后，在右上角自己的姓名下选择“个人中心”，在新面面左侧“我的报名”中选择“书香天津”，在其“查看详情”中选择相关课程进行学习。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手机端扫描活动二维码进入专题页报名观看。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）点击“立即报名”</w:t>
      </w:r>
    </w:p>
    <w:p w:rsidR="003D0A6A" w:rsidRDefault="002A7BED">
      <w:pPr>
        <w:jc w:val="center"/>
        <w:rPr>
          <w:rFonts w:ascii="宋体" w:hAnsi="宋体"/>
          <w:sz w:val="28"/>
          <w:szCs w:val="28"/>
        </w:rPr>
      </w:pPr>
      <w:r>
        <w:pict>
          <v:rect id="_x0000_s1034" style="position:absolute;left:0;text-align:left;margin-left:239.15pt;margin-top:212.7pt;width:66.05pt;height:29.3pt;z-index:251662336;mso-width-relative:page;mso-height-relative:page" filled="f" strokecolor="red" strokeweight="2pt"/>
        </w:pic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>
            <wp:extent cx="2494915" cy="5401310"/>
            <wp:effectExtent l="0" t="0" r="635" b="8890"/>
            <wp:docPr id="9" name="图片 9" descr="c0af8e6d1b619950c6712307399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0af8e6d1b619950c671230739917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54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6A" w:rsidRDefault="003D0A6A"/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）没有知网账号的同学可以点击“注册”</w:t>
      </w:r>
    </w:p>
    <w:p w:rsidR="003D0A6A" w:rsidRDefault="003D0A6A">
      <w:pPr>
        <w:ind w:firstLine="373"/>
        <w:jc w:val="left"/>
      </w:pPr>
    </w:p>
    <w:p w:rsidR="003D0A6A" w:rsidRDefault="002A7BED">
      <w:pPr>
        <w:rPr>
          <w:rFonts w:ascii="宋体" w:hAnsi="宋体"/>
          <w:sz w:val="28"/>
          <w:szCs w:val="28"/>
        </w:rPr>
      </w:pPr>
      <w:r>
        <w:lastRenderedPageBreak/>
        <w:pict>
          <v:line id="_x0000_s1036" style="position:absolute;left:0;text-align:left;z-index:251664384;mso-width-relative:page;mso-height-relative:page" from="146.15pt,40.8pt" to="202.4pt,66.3pt" filled="t" strokecolor="red" strokeweight="2pt">
            <v:stroke endarrow="open"/>
          </v:line>
        </w:pict>
      </w:r>
      <w:r>
        <w:pict>
          <v:rect id="_x0000_s1035" style="position:absolute;left:0;text-align:left;margin-left:96.65pt;margin-top:30.6pt;width:57.1pt;height:25.6pt;z-index:251663360;mso-width-relative:page;mso-height-relative:page" filled="f" strokecolor="red" strokeweight="2pt"/>
        </w:pic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>
            <wp:extent cx="1770380" cy="3834130"/>
            <wp:effectExtent l="0" t="0" r="1270" b="13970"/>
            <wp:docPr id="10" name="图片 10" descr="a72bc03addd2dd1c83c7974fc657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72bc03addd2dd1c83c7974fc65730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8"/>
          <w:szCs w:val="28"/>
        </w:rPr>
        <w:t xml:space="preserve">     </w:t>
      </w:r>
      <w:r>
        <w:rPr>
          <w:rFonts w:ascii="宋体" w:hAnsi="宋体"/>
          <w:noProof/>
          <w:sz w:val="28"/>
          <w:szCs w:val="28"/>
        </w:rPr>
        <w:drawing>
          <wp:inline distT="0" distB="0" distL="114300" distR="114300">
            <wp:extent cx="1762760" cy="3816985"/>
            <wp:effectExtent l="0" t="0" r="8890" b="12065"/>
            <wp:docPr id="11" name="图片 11" descr="42e567981ed70c6eb576a5b21e6b0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2e567981ed70c6eb576a5b21e6b04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）如需获取培训课时认证证书，必须提前进行报名，填写个人信息登录观看，满足课时要求颁发培训电子证书。</w:t>
      </w:r>
      <w:r>
        <w:rPr>
          <w:rFonts w:ascii="宋体" w:hAnsi="宋体" w:hint="eastAsia"/>
          <w:sz w:val="28"/>
          <w:szCs w:val="28"/>
        </w:rPr>
        <w:t>报名时需要登录知网个人账号，如果没有账号，可直接注册，同学们要注意观看讲座时登录的账号需和报名账号是同一个。证书上的单位名称、姓名等以报名信息为准，同学们一定要真实准确填写报名信息，一旦提交个人无法修改。报名成功后将通过手机短信进行通知，请注意查看。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sz w:val="28"/>
          <w:szCs w:val="28"/>
        </w:rPr>
        <w:t>四、讲座内容</w:t>
      </w:r>
    </w:p>
    <w:p w:rsidR="003D0A6A" w:rsidRDefault="002A7BED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《期刊论文选题和写作中的几个误区》主讲人：林士平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西南政法大学《现代法学》编审、学术期刊评价中心主任。</w:t>
      </w:r>
      <w:r>
        <w:rPr>
          <w:rFonts w:ascii="宋体" w:hAnsi="宋体" w:hint="eastAsia"/>
          <w:sz w:val="28"/>
          <w:szCs w:val="28"/>
        </w:rPr>
        <w:t> 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《高水平科技论文写作投稿与发表》</w:t>
      </w:r>
      <w:r>
        <w:rPr>
          <w:rFonts w:ascii="宋体" w:hAnsi="宋体" w:hint="eastAsia"/>
          <w:sz w:val="28"/>
          <w:szCs w:val="28"/>
        </w:rPr>
        <w:t>主讲人：彭超群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Cs/>
          <w:sz w:val="28"/>
          <w:szCs w:val="28"/>
        </w:rPr>
        <w:t>教授，博士</w:t>
      </w:r>
      <w:r>
        <w:rPr>
          <w:rFonts w:ascii="宋体" w:hAnsi="宋体" w:hint="eastAsia"/>
          <w:bCs/>
          <w:sz w:val="28"/>
          <w:szCs w:val="28"/>
        </w:rPr>
        <w:t>/</w:t>
      </w:r>
      <w:r>
        <w:rPr>
          <w:rFonts w:ascii="宋体" w:hAnsi="宋体" w:hint="eastAsia"/>
          <w:bCs/>
          <w:sz w:val="28"/>
          <w:szCs w:val="28"/>
        </w:rPr>
        <w:t>博士后，现任《中国有色金属学报》中、英文版执行副主编，中南大学材料科学与工程学院博士生导师。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3.</w:t>
      </w:r>
      <w:r>
        <w:rPr>
          <w:rFonts w:ascii="宋体" w:hAnsi="宋体"/>
          <w:sz w:val="28"/>
          <w:szCs w:val="28"/>
        </w:rPr>
        <w:t>《学位论文的撰写与答辩》主讲人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：孟奇勋</w:t>
      </w:r>
      <w:r>
        <w:rPr>
          <w:rFonts w:ascii="宋体" w:hAnsi="宋体"/>
          <w:sz w:val="28"/>
          <w:szCs w:val="28"/>
        </w:rPr>
        <w:t> </w:t>
      </w:r>
      <w:r>
        <w:rPr>
          <w:rFonts w:ascii="宋体" w:hAnsi="宋体"/>
          <w:bCs/>
          <w:sz w:val="28"/>
          <w:szCs w:val="28"/>
        </w:rPr>
        <w:t>武汉理工大学法学社会学院副教授，硕士生导师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</w:t>
      </w:r>
      <w:r>
        <w:rPr>
          <w:rFonts w:ascii="宋体" w:hAnsi="宋体"/>
          <w:sz w:val="28"/>
          <w:szCs w:val="28"/>
        </w:rPr>
        <w:t>《了解学术规范，避免学术不端》主讲人：郭子嫣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bCs/>
          <w:sz w:val="28"/>
          <w:szCs w:val="28"/>
        </w:rPr>
        <w:t>中国知网高级培训讲师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</w:t>
      </w:r>
      <w:r>
        <w:rPr>
          <w:rFonts w:ascii="宋体" w:hAnsi="宋体"/>
          <w:sz w:val="28"/>
          <w:szCs w:val="28"/>
        </w:rPr>
        <w:t>《如何利用引文梳理知识脉络》主讲人：吴苏北</w:t>
      </w:r>
      <w:r>
        <w:rPr>
          <w:rFonts w:ascii="宋体" w:hAnsi="宋体"/>
          <w:sz w:val="28"/>
          <w:szCs w:val="28"/>
        </w:rPr>
        <w:t> </w:t>
      </w:r>
      <w:r>
        <w:rPr>
          <w:rFonts w:ascii="宋体" w:hAnsi="宋体"/>
          <w:bCs/>
          <w:sz w:val="28"/>
          <w:szCs w:val="28"/>
        </w:rPr>
        <w:t>世界史专业博士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</w:t>
      </w:r>
      <w:r>
        <w:rPr>
          <w:rFonts w:ascii="宋体" w:hAnsi="宋体"/>
          <w:sz w:val="28"/>
          <w:szCs w:val="28"/>
        </w:rPr>
        <w:t>《如何利用统计数据与模型进行课题研究的示例演示》主讲人：吴晓莉</w:t>
      </w:r>
      <w:r>
        <w:rPr>
          <w:rFonts w:ascii="宋体" w:hAnsi="宋体"/>
          <w:sz w:val="28"/>
          <w:szCs w:val="28"/>
        </w:rPr>
        <w:t> </w:t>
      </w:r>
      <w:r>
        <w:rPr>
          <w:rFonts w:ascii="宋体" w:hAnsi="宋体"/>
          <w:bCs/>
          <w:sz w:val="28"/>
          <w:szCs w:val="28"/>
        </w:rPr>
        <w:t>中国知网数据开发工程师，原国家统计局数据分析师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</w:t>
      </w:r>
      <w:r>
        <w:rPr>
          <w:rFonts w:ascii="宋体" w:hAnsi="宋体"/>
          <w:sz w:val="28"/>
          <w:szCs w:val="28"/>
        </w:rPr>
        <w:t>《数据分析服务与临床科研》主讲人：邢</w:t>
      </w:r>
      <w:r>
        <w:rPr>
          <w:rFonts w:ascii="宋体" w:hAnsi="宋体"/>
          <w:sz w:val="28"/>
          <w:szCs w:val="28"/>
        </w:rPr>
        <w:t>美园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bCs/>
          <w:sz w:val="28"/>
          <w:szCs w:val="28"/>
        </w:rPr>
        <w:t>浙江大学医学院附属第一医院图书馆馆长，副研究馆员，中国图书馆学会医学图书馆分会副主任</w:t>
      </w:r>
      <w:r>
        <w:rPr>
          <w:rFonts w:ascii="宋体" w:hAnsi="宋体" w:hint="eastAsia"/>
          <w:bCs/>
          <w:sz w:val="28"/>
          <w:szCs w:val="28"/>
        </w:rPr>
        <w:t>。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</w:t>
      </w:r>
      <w:r>
        <w:rPr>
          <w:rFonts w:ascii="宋体" w:hAnsi="宋体"/>
          <w:sz w:val="28"/>
          <w:szCs w:val="28"/>
        </w:rPr>
        <w:t>《大数据在社会经济发展中的应用与研究</w:t>
      </w:r>
      <w:r>
        <w:rPr>
          <w:rFonts w:ascii="宋体" w:hAnsi="宋体"/>
          <w:sz w:val="28"/>
          <w:szCs w:val="28"/>
        </w:rPr>
        <w:t>——</w:t>
      </w:r>
      <w:r>
        <w:rPr>
          <w:rFonts w:ascii="宋体" w:hAnsi="宋体"/>
          <w:sz w:val="28"/>
          <w:szCs w:val="28"/>
        </w:rPr>
        <w:t>中国医疗卫生发展水平研究与分析》主讲人：朱建平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bCs/>
          <w:sz w:val="28"/>
          <w:szCs w:val="28"/>
        </w:rPr>
        <w:t>厦门大学数据挖掘研究中心教授、博士生导师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sz w:val="28"/>
          <w:szCs w:val="28"/>
        </w:rPr>
        <w:t>9</w:t>
      </w:r>
      <w:r>
        <w:rPr>
          <w:rFonts w:ascii="宋体" w:hAnsi="宋体"/>
          <w:sz w:val="28"/>
          <w:szCs w:val="28"/>
        </w:rPr>
        <w:t>、《数字化知识服务平台助推科技创新管理》主讲人：覃事永</w:t>
      </w:r>
      <w:r>
        <w:rPr>
          <w:rFonts w:ascii="宋体" w:hAnsi="宋体"/>
          <w:sz w:val="28"/>
          <w:szCs w:val="28"/>
        </w:rPr>
        <w:t> </w:t>
      </w:r>
      <w:r>
        <w:rPr>
          <w:rFonts w:ascii="宋体" w:hAnsi="宋体"/>
          <w:bCs/>
          <w:sz w:val="28"/>
          <w:szCs w:val="28"/>
        </w:rPr>
        <w:t>蓝星（北京）化工机械有限公司科技部部长，长期从事化工行业技术研发及科技管理工作，曾参与国家</w:t>
      </w:r>
      <w:r>
        <w:rPr>
          <w:rFonts w:ascii="宋体" w:hAnsi="宋体"/>
          <w:bCs/>
          <w:sz w:val="28"/>
          <w:szCs w:val="28"/>
        </w:rPr>
        <w:t>“</w:t>
      </w:r>
      <w:r>
        <w:rPr>
          <w:rFonts w:ascii="宋体" w:hAnsi="宋体"/>
          <w:bCs/>
          <w:sz w:val="28"/>
          <w:szCs w:val="28"/>
        </w:rPr>
        <w:t>十一五</w:t>
      </w:r>
      <w:r>
        <w:rPr>
          <w:rFonts w:ascii="宋体" w:hAnsi="宋体"/>
          <w:bCs/>
          <w:sz w:val="28"/>
          <w:szCs w:val="28"/>
        </w:rPr>
        <w:t>”</w:t>
      </w:r>
      <w:r>
        <w:rPr>
          <w:rFonts w:ascii="宋体" w:hAnsi="宋体"/>
          <w:bCs/>
          <w:sz w:val="28"/>
          <w:szCs w:val="28"/>
        </w:rPr>
        <w:t>科技支撑计划及北京市高技术战略计划任务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sz w:val="28"/>
          <w:szCs w:val="28"/>
        </w:rPr>
        <w:t>10</w:t>
      </w:r>
      <w:r>
        <w:rPr>
          <w:rFonts w:ascii="宋体" w:hAnsi="宋体"/>
          <w:sz w:val="28"/>
          <w:szCs w:val="28"/>
        </w:rPr>
        <w:t>、《</w:t>
      </w:r>
      <w:r>
        <w:rPr>
          <w:rFonts w:ascii="宋体" w:hAnsi="宋体"/>
          <w:bCs/>
          <w:sz w:val="28"/>
          <w:szCs w:val="28"/>
        </w:rPr>
        <w:t>专利申请的痛点</w:t>
      </w:r>
      <w:r>
        <w:rPr>
          <w:rFonts w:ascii="宋体" w:hAnsi="宋体"/>
          <w:sz w:val="28"/>
          <w:szCs w:val="28"/>
        </w:rPr>
        <w:t>》主讲人：付亚荣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bCs/>
          <w:sz w:val="28"/>
          <w:szCs w:val="28"/>
        </w:rPr>
        <w:t>中国石油天然气股份有限公司高级工程师，技术专家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五、证书申领</w:t>
      </w:r>
    </w:p>
    <w:p w:rsidR="003D0A6A" w:rsidRDefault="002A7BED">
      <w:p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在</w:t>
      </w:r>
      <w:r>
        <w:rPr>
          <w:rFonts w:ascii="宋体" w:hAnsi="宋体" w:hint="eastAsia"/>
          <w:bCs/>
          <w:sz w:val="28"/>
          <w:szCs w:val="28"/>
        </w:rPr>
        <w:t>2022</w:t>
      </w:r>
      <w:r>
        <w:rPr>
          <w:rFonts w:ascii="宋体" w:hAnsi="宋体" w:hint="eastAsia"/>
          <w:bCs/>
          <w:sz w:val="28"/>
          <w:szCs w:val="28"/>
        </w:rPr>
        <w:t>年</w:t>
      </w:r>
      <w:r>
        <w:rPr>
          <w:rFonts w:ascii="宋体" w:hAnsi="宋体" w:hint="eastAsia"/>
          <w:bCs/>
          <w:sz w:val="28"/>
          <w:szCs w:val="28"/>
        </w:rPr>
        <w:t>5</w:t>
      </w:r>
      <w:r>
        <w:rPr>
          <w:rFonts w:ascii="宋体" w:hAnsi="宋体" w:hint="eastAsia"/>
          <w:bCs/>
          <w:sz w:val="28"/>
          <w:szCs w:val="28"/>
        </w:rPr>
        <w:t>月</w:t>
      </w:r>
      <w:r>
        <w:rPr>
          <w:rFonts w:ascii="宋体" w:hAnsi="宋体" w:hint="eastAsia"/>
          <w:bCs/>
          <w:sz w:val="28"/>
          <w:szCs w:val="28"/>
        </w:rPr>
        <w:t>31</w:t>
      </w:r>
      <w:r>
        <w:rPr>
          <w:rFonts w:ascii="宋体" w:hAnsi="宋体" w:hint="eastAsia"/>
          <w:bCs/>
          <w:sz w:val="28"/>
          <w:szCs w:val="28"/>
        </w:rPr>
        <w:t>日前完成培训课程学习，活动结束后统一颁发</w:t>
      </w:r>
      <w:r>
        <w:rPr>
          <w:rFonts w:ascii="宋体" w:hAnsi="宋体" w:hint="eastAsia"/>
          <w:bCs/>
          <w:sz w:val="28"/>
          <w:szCs w:val="28"/>
        </w:rPr>
        <w:lastRenderedPageBreak/>
        <w:t>电子证书，可在“知网在线教学服务平台——个人中心——我的证书”查看下载。证书由中国知网天津分公司盖章。</w:t>
      </w:r>
    </w:p>
    <w:p w:rsidR="003D0A6A" w:rsidRDefault="002A7BED">
      <w:pPr>
        <w:numPr>
          <w:ilvl w:val="0"/>
          <w:numId w:val="1"/>
        </w:numPr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问卷调查</w:t>
      </w:r>
    </w:p>
    <w:p w:rsidR="003D0A6A" w:rsidRDefault="002A7BED">
      <w:pPr>
        <w:ind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活动期间，欢迎各位读者填写《信息素养与创新能力提升云课堂调查问卷》，为此次活动形式、讲座课程及知</w:t>
      </w:r>
      <w:r>
        <w:rPr>
          <w:rFonts w:ascii="宋体" w:hAnsi="宋体" w:hint="eastAsia"/>
          <w:bCs/>
          <w:sz w:val="28"/>
          <w:szCs w:val="28"/>
        </w:rPr>
        <w:t>网系列数据库提出意见和建议。活动结束后中国知网将收回问卷，并在参与问卷调查的读者中抽取</w:t>
      </w:r>
      <w:r>
        <w:rPr>
          <w:rFonts w:ascii="宋体" w:hAnsi="宋体" w:hint="eastAsia"/>
          <w:bCs/>
          <w:sz w:val="28"/>
          <w:szCs w:val="28"/>
        </w:rPr>
        <w:t>20</w:t>
      </w:r>
      <w:r>
        <w:rPr>
          <w:rFonts w:ascii="宋体" w:hAnsi="宋体" w:hint="eastAsia"/>
          <w:bCs/>
          <w:sz w:val="28"/>
          <w:szCs w:val="28"/>
        </w:rPr>
        <w:t>名幸运读者颁发奖品。感谢您的参与！</w:t>
      </w:r>
    </w:p>
    <w:p w:rsidR="003D0A6A" w:rsidRDefault="002A7BED">
      <w:pPr>
        <w:ind w:firstLine="560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1428750" cy="142875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D0A6A" w:rsidRDefault="002A7BED">
      <w:pPr>
        <w:ind w:firstLine="560"/>
        <w:jc w:val="center"/>
        <w:rPr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请扫描上方二维码参与问卷调查</w:t>
      </w:r>
    </w:p>
    <w:p w:rsidR="003D0A6A" w:rsidRDefault="003D0A6A">
      <w:pPr>
        <w:jc w:val="center"/>
      </w:pPr>
    </w:p>
    <w:sectPr w:rsidR="003D0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BED" w:rsidRDefault="002A7BED" w:rsidP="00D772FB">
      <w:r>
        <w:separator/>
      </w:r>
    </w:p>
  </w:endnote>
  <w:endnote w:type="continuationSeparator" w:id="0">
    <w:p w:rsidR="002A7BED" w:rsidRDefault="002A7BED" w:rsidP="00D7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BED" w:rsidRDefault="002A7BED" w:rsidP="00D772FB">
      <w:r>
        <w:separator/>
      </w:r>
    </w:p>
  </w:footnote>
  <w:footnote w:type="continuationSeparator" w:id="0">
    <w:p w:rsidR="002A7BED" w:rsidRDefault="002A7BED" w:rsidP="00D77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CD53E1F"/>
    <w:multiLevelType w:val="singleLevel"/>
    <w:tmpl w:val="BCD53E1F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06D"/>
    <w:rsid w:val="000071C4"/>
    <w:rsid w:val="0007406D"/>
    <w:rsid w:val="002A7BED"/>
    <w:rsid w:val="003D0A6A"/>
    <w:rsid w:val="00516088"/>
    <w:rsid w:val="00552936"/>
    <w:rsid w:val="007752BB"/>
    <w:rsid w:val="00D772FB"/>
    <w:rsid w:val="1E312064"/>
    <w:rsid w:val="5269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_x0000_s1033">
          <o:proxy start="" idref="#_x0000_s1028" connectloc="3"/>
        </o:r>
      </o:rules>
    </o:shapelayout>
  </w:shapeDefaults>
  <w:decimalSymbol w:val="."/>
  <w:listSeparator w:val=","/>
  <w14:docId w14:val="327F63F9"/>
  <w15:docId w15:val="{24BD5486-82CE-4D44-8023-DBAAE36D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77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772FB"/>
    <w:rPr>
      <w:rFonts w:ascii="Calibri" w:hAnsi="Calibri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77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772FB"/>
    <w:rPr>
      <w:rFonts w:ascii="Calibri" w:hAnsi="Calibri"/>
      <w:kern w:val="2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D772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.cnki.net/NewTheme/Index/453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3"/>
    <customShpInfo spid="_x0000_s1026"/>
    <customShpInfo spid="_x0000_s1034"/>
    <customShpInfo spid="_x0000_s1036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2022-04-09T06:23:00Z</dcterms:created>
  <dcterms:modified xsi:type="dcterms:W3CDTF">2022-04-18T03:52:00Z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488D31C7B5744EEE92FB7E6AA9631CEE</vt:lpwstr>
  </property>
</Properties>
</file>